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C40F9" w14:textId="77777777" w:rsidR="007A4D71" w:rsidRDefault="00000000">
      <w:pPr>
        <w:bidi/>
        <w:spacing w:after="60"/>
        <w:jc w:val="center"/>
      </w:pPr>
      <w:r>
        <w:rPr>
          <w:color w:val="718096"/>
          <w:sz w:val="22"/>
          <w:szCs w:val="22"/>
          <w:rtl/>
          <w:lang w:bidi="ar-MA"/>
        </w:rPr>
        <w:t>المملكة المغربية — وزارة التربية الوطنية والتعليم الأولي والرياضة</w:t>
      </w:r>
    </w:p>
    <w:p w14:paraId="357575FC" w14:textId="77777777" w:rsidR="007A4D71" w:rsidRDefault="00000000">
      <w:pPr>
        <w:bidi/>
        <w:spacing w:after="180"/>
        <w:jc w:val="center"/>
      </w:pPr>
      <w:r>
        <w:rPr>
          <w:b/>
          <w:bCs/>
          <w:color w:val="0D9488"/>
          <w:sz w:val="24"/>
          <w:szCs w:val="24"/>
          <w:rtl/>
          <w:lang w:bidi="ar-MA"/>
        </w:rPr>
        <w:t>مشروع مؤسسات الريادة — برنامج دعم التعلمات الأساس</w:t>
      </w:r>
    </w:p>
    <w:p w14:paraId="763C232E" w14:textId="77777777" w:rsidR="007A4D71" w:rsidRDefault="00000000">
      <w:pPr>
        <w:bidi/>
        <w:spacing w:before="100" w:after="100"/>
        <w:jc w:val="center"/>
      </w:pPr>
      <w:r>
        <w:rPr>
          <w:b/>
          <w:bCs/>
          <w:color w:val="0F766E"/>
          <w:sz w:val="36"/>
          <w:szCs w:val="36"/>
          <w:rtl/>
          <w:lang w:bidi="ar-MA"/>
        </w:rPr>
        <w:t>الإطار المرجعي لبرنامج دعم التعلمات الأساس</w:t>
      </w:r>
    </w:p>
    <w:p w14:paraId="7C1E855B" w14:textId="77777777" w:rsidR="007A4D71" w:rsidRDefault="00000000">
      <w:pPr>
        <w:bidi/>
        <w:spacing w:after="200"/>
        <w:jc w:val="center"/>
      </w:pPr>
      <w:r>
        <w:rPr>
          <w:color w:val="4A5568"/>
          <w:sz w:val="24"/>
          <w:szCs w:val="24"/>
          <w:rtl/>
          <w:lang w:bidi="ar-MA"/>
        </w:rPr>
        <w:t>مرتكزات مقاربة التدريس وفق المستوى المناسب (TaRL) وأركان التنزيل الميداني</w:t>
      </w:r>
    </w:p>
    <w:p w14:paraId="39EEF8C2" w14:textId="77777777" w:rsidR="007A4D71" w:rsidRDefault="007A4D71" w:rsidP="008E7696">
      <w:pPr>
        <w:pBdr>
          <w:bottom w:val="single" w:sz="2" w:space="0" w:color="0D9488"/>
        </w:pBdr>
        <w:bidi/>
        <w:spacing w:before="140" w:after="160"/>
      </w:pPr>
    </w:p>
    <w:p w14:paraId="1FC9F854" w14:textId="77777777" w:rsidR="007A4D71" w:rsidRDefault="00000000" w:rsidP="008E7696">
      <w:pPr>
        <w:bidi/>
        <w:spacing w:before="100" w:after="120" w:line="360" w:lineRule="auto"/>
      </w:pPr>
      <w:r>
        <w:rPr>
          <w:b/>
          <w:bCs/>
          <w:color w:val="1A365D"/>
          <w:rtl/>
          <w:lang w:bidi="ar-MA"/>
        </w:rPr>
        <w:t>يتأسس برنامج دعم التعلمات الأساس (المعروف بـ مقاربة طارل TaRL) كإطار بيداغوجي مبتكر ضمن مشروع مؤسسات الريادة بالمغرب، ويهدف بشكل مباشر إلى تجاوز التعثرات المتراكمة ومعالجة فقر التعلمات في المواد الأساسية الثلاث: اللغة العربية، اللغة الفرنسية، والرياضيات.</w:t>
      </w:r>
    </w:p>
    <w:p w14:paraId="22487DCB" w14:textId="77777777" w:rsidR="007A4D71" w:rsidRDefault="00000000" w:rsidP="008E7696">
      <w:pPr>
        <w:bidi/>
        <w:spacing w:after="160" w:line="360" w:lineRule="auto"/>
      </w:pPr>
      <w:r>
        <w:rPr>
          <w:rtl/>
          <w:lang w:bidi="ar-MA"/>
        </w:rPr>
        <w:t>ينقسم هذا البرنامج إلى مرتكزات بيداغوجية موجهة وأركان تطبيقية واضحة كالتالي:</w:t>
      </w:r>
    </w:p>
    <w:p w14:paraId="520E8EF7" w14:textId="77777777" w:rsidR="007A4D71" w:rsidRDefault="00000000" w:rsidP="008E7696">
      <w:pPr>
        <w:pStyle w:val="Heading2"/>
        <w:bidi/>
        <w:spacing w:before="260" w:after="120"/>
      </w:pPr>
      <w:r>
        <w:rPr>
          <w:b/>
          <w:bCs/>
          <w:color w:val="065F46"/>
          <w:sz w:val="30"/>
          <w:szCs w:val="30"/>
          <w:rtl/>
          <w:lang w:bidi="ar-MA"/>
        </w:rPr>
        <w:t>◀ أولاً: المرتكزات البيداغوجية للبرنامج</w:t>
      </w:r>
    </w:p>
    <w:p w14:paraId="138F78BE" w14:textId="77777777" w:rsidR="007A4D71" w:rsidRDefault="00000000" w:rsidP="008E7696">
      <w:pPr>
        <w:bidi/>
        <w:spacing w:after="100" w:line="360" w:lineRule="auto"/>
      </w:pPr>
      <w:r>
        <w:rPr>
          <w:rtl/>
          <w:lang w:bidi="ar-MA"/>
        </w:rPr>
        <w:t>تعتمد المقاربة على مجموعة من المبادئ والمنطلقات البيداغوجية لتصحيح مسار التعلم:</w:t>
      </w:r>
    </w:p>
    <w:p w14:paraId="0217D0CB"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التعليم من مستوى المتعلم الحقيقي (Teaching at the Right Level): </w:t>
      </w:r>
      <w:r>
        <w:rPr>
          <w:color w:val="2D3748"/>
          <w:rtl/>
          <w:lang w:bidi="ar-MA"/>
        </w:rPr>
        <w:t>تجاوز منطق "المستوى الدراسي الإداري" (السنوات: الثالث، الرابع...) والتركيز على القدرات الفعلية التي يمتلكها التلميذ بناءً على نتائج رائز الموضعة.</w:t>
      </w:r>
    </w:p>
    <w:p w14:paraId="66B19EF6"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التركيز على الكفايات الأساسية: </w:t>
      </w:r>
      <w:r>
        <w:rPr>
          <w:color w:val="2D3748"/>
          <w:rtl/>
          <w:lang w:bidi="ar-MA"/>
        </w:rPr>
        <w:t>إعطاء الأولوية القصوى للمهارات المحددة والضرورية التي لا يمكن للمتعلم مواصلة مساره الدراسي بدونها (مثل: القراءة السليمة، والعمليات الحسابية الأربع الأساسية).</w:t>
      </w:r>
    </w:p>
    <w:p w14:paraId="472C2B72"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البيداغوجيا الفارقية والتشخيص الدقيق: </w:t>
      </w:r>
      <w:r>
        <w:rPr>
          <w:color w:val="2D3748"/>
          <w:rtl/>
          <w:lang w:bidi="ar-MA"/>
        </w:rPr>
        <w:t>تبني ثقافة التشخيص الدقيق للتعثرات عوض التعميم، مع مراعاة الفروق الفردية وإيقاعات التعلم الخاصة بكل طفل.</w:t>
      </w:r>
    </w:p>
    <w:p w14:paraId="048B8A5C"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بيداغوجيا اللعب والأنشطة التفاعلية: </w:t>
      </w:r>
      <w:r>
        <w:rPr>
          <w:color w:val="2D3748"/>
          <w:rtl/>
          <w:lang w:bidi="ar-MA"/>
        </w:rPr>
        <w:t>الاعتماد على أنشطة حركية، ألعاب تربوية، وأناشيد لكسر رتابة التلقين وجعل المتعلم محوراً للعملية التعليمية، مما يرفع من دافعيته للتعلم.</w:t>
      </w:r>
    </w:p>
    <w:p w14:paraId="7847AC02"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التدرج في البناء (اللبنات): </w:t>
      </w:r>
      <w:r>
        <w:rPr>
          <w:color w:val="2D3748"/>
          <w:rtl/>
          <w:lang w:bidi="ar-MA"/>
        </w:rPr>
        <w:t>تقسيم المحتوى التعليمي إلى محطات أو "لبنات" متدرجة الصعوبة (مثال في القراءة: حرف، كلمة، فقرة، أقصوصة)، ولا يتم الانتقال للبنة موالية إلا بعد التمكن من اللبنة السابقة بنسب تحكم محددة.</w:t>
      </w:r>
    </w:p>
    <w:p w14:paraId="709EB898" w14:textId="77777777" w:rsidR="007A4D71" w:rsidRDefault="007A4D71" w:rsidP="008E7696">
      <w:pPr>
        <w:pBdr>
          <w:bottom w:val="single" w:sz="2" w:space="0" w:color="0D9488"/>
        </w:pBdr>
        <w:bidi/>
        <w:spacing w:before="140" w:after="160"/>
      </w:pPr>
    </w:p>
    <w:p w14:paraId="141C8067" w14:textId="77777777" w:rsidR="007A4D71" w:rsidRDefault="00000000" w:rsidP="008E7696">
      <w:pPr>
        <w:pStyle w:val="Heading2"/>
        <w:bidi/>
        <w:spacing w:before="260" w:after="120"/>
      </w:pPr>
      <w:r>
        <w:rPr>
          <w:b/>
          <w:bCs/>
          <w:color w:val="065F46"/>
          <w:sz w:val="30"/>
          <w:szCs w:val="30"/>
          <w:rtl/>
          <w:lang w:bidi="ar-MA"/>
        </w:rPr>
        <w:lastRenderedPageBreak/>
        <w:t>◀ ثانياً: أركان برنامج الدعم (خطوات التنفيذ الميداني)</w:t>
      </w:r>
    </w:p>
    <w:p w14:paraId="2476B986" w14:textId="77777777" w:rsidR="007A4D71" w:rsidRDefault="00000000" w:rsidP="008E7696">
      <w:pPr>
        <w:bidi/>
        <w:spacing w:after="100" w:line="360" w:lineRule="auto"/>
      </w:pPr>
      <w:r>
        <w:rPr>
          <w:rtl/>
          <w:lang w:bidi="ar-MA"/>
        </w:rPr>
        <w:t>يقوم البرنامج في تنزيله الميداني على أربعة أركان متكاملة ومترابطة:</w:t>
      </w:r>
    </w:p>
    <w:p w14:paraId="79B815CE" w14:textId="77777777" w:rsidR="007A4D71" w:rsidRDefault="00000000" w:rsidP="008E7696">
      <w:pPr>
        <w:bidi/>
        <w:spacing w:before="80" w:after="160"/>
      </w:pPr>
      <w:r>
        <w:rPr>
          <w:b/>
          <w:bCs/>
          <w:color w:val="0F766E"/>
          <w:sz w:val="24"/>
          <w:szCs w:val="24"/>
          <w:rtl/>
          <w:lang w:bidi="ar-MA"/>
        </w:rPr>
        <w:t>[رائز الموضعة (التشخيص)] ◄ [تجميع التلاميذ (مجموعات متجانسة)] ◄ [تمرير أنشطة الدعم (اللبنات)] ◄ [التقويم المستمر والأثر]</w:t>
      </w:r>
    </w:p>
    <w:p w14:paraId="26296EA8"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رائز الموضعة (التقويم التشخيصي): </w:t>
      </w:r>
      <w:r>
        <w:rPr>
          <w:color w:val="2D3748"/>
          <w:rtl/>
          <w:lang w:bidi="ar-MA"/>
        </w:rPr>
        <w:t>أداة القياس المركزية والموحدة التي يمررها الأستاذ بشكل فردي لتحديد مستوى كل تلميذ بدقة ورصد مواطن التعثر بوضوح.</w:t>
      </w:r>
    </w:p>
    <w:p w14:paraId="1E86EF63"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تجميع التلاميذ حسب مستوى التحكم: </w:t>
      </w:r>
      <w:r>
        <w:rPr>
          <w:color w:val="2D3748"/>
          <w:rtl/>
          <w:lang w:bidi="ar-MA"/>
        </w:rPr>
        <w:t>إعادة توزيع المتعلمين داخل فصول الدعم بناءً على مستواهم الفعلي في الرائز (مثلاً: تجميع كل من هم في "لبنة الحرف" معاً) بغض النظر عن مستوياتهم الدراسية الأصلية.</w:t>
      </w:r>
    </w:p>
    <w:p w14:paraId="399A5FF7"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الأنشطة والعلاجات البيداغوجية: </w:t>
      </w:r>
      <w:r>
        <w:rPr>
          <w:color w:val="2D3748"/>
          <w:rtl/>
          <w:lang w:bidi="ar-MA"/>
        </w:rPr>
        <w:t>تطبيق ممارسات الدعم المكثف باستخدام عدة بيداغوجية مخصصة وموجهة لكل لبنة ومسار، تجمع بين التوجيه المباشر والعمل الجماعي التفاعلي.</w:t>
      </w:r>
    </w:p>
    <w:p w14:paraId="726046A4" w14:textId="77777777" w:rsidR="007A4D71" w:rsidRDefault="00000000" w:rsidP="008E7696">
      <w:pPr>
        <w:bidi/>
        <w:spacing w:after="120" w:line="340" w:lineRule="auto"/>
        <w:ind w:right="300"/>
      </w:pPr>
      <w:r>
        <w:rPr>
          <w:b/>
          <w:bCs/>
          <w:color w:val="0D9488"/>
          <w:rtl/>
          <w:lang w:bidi="ar-MA"/>
        </w:rPr>
        <w:t xml:space="preserve">•  </w:t>
      </w:r>
      <w:r>
        <w:rPr>
          <w:b/>
          <w:bCs/>
          <w:color w:val="0F766E"/>
          <w:rtl/>
          <w:lang w:bidi="ar-MA"/>
        </w:rPr>
        <w:t xml:space="preserve">التقويم والتتبع (قياس الأثر): </w:t>
      </w:r>
      <w:r>
        <w:rPr>
          <w:color w:val="2D3748"/>
          <w:rtl/>
          <w:lang w:bidi="ar-MA"/>
        </w:rPr>
        <w:t>إجراء تقويمات دورية منتظمة للتأكد من مدى تطور مهارات التلاميذ ونقل المؤهلين منهم إلى اللبنات الأعلى، مع قياس النجاعة الإجمالية للتدخل البيداغوجي.</w:t>
      </w:r>
    </w:p>
    <w:p w14:paraId="7282FF74" w14:textId="77777777" w:rsidR="007A4D71" w:rsidRDefault="007A4D71" w:rsidP="008E7696">
      <w:pPr>
        <w:pBdr>
          <w:bottom w:val="single" w:sz="2" w:space="0" w:color="0D9488"/>
        </w:pBdr>
        <w:bidi/>
        <w:spacing w:before="140" w:after="160"/>
      </w:pPr>
    </w:p>
    <w:p w14:paraId="268F0B57" w14:textId="3047A973" w:rsidR="007A4D71" w:rsidRPr="00ED3565" w:rsidRDefault="007A4D71">
      <w:pPr>
        <w:bidi/>
        <w:spacing w:before="120" w:after="140" w:line="360" w:lineRule="auto"/>
        <w:jc w:val="center"/>
      </w:pPr>
    </w:p>
    <w:sectPr w:rsidR="007A4D71" w:rsidRPr="00ED356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B2"/>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20485"/>
    <w:multiLevelType w:val="hybridMultilevel"/>
    <w:tmpl w:val="47608C6C"/>
    <w:lvl w:ilvl="0" w:tplc="7630715A">
      <w:start w:val="1"/>
      <w:numFmt w:val="bullet"/>
      <w:lvlText w:val="●"/>
      <w:lvlJc w:val="left"/>
      <w:pPr>
        <w:ind w:left="720" w:hanging="360"/>
      </w:pPr>
    </w:lvl>
    <w:lvl w:ilvl="1" w:tplc="0DF60D82">
      <w:start w:val="1"/>
      <w:numFmt w:val="bullet"/>
      <w:lvlText w:val="○"/>
      <w:lvlJc w:val="left"/>
      <w:pPr>
        <w:ind w:left="1440" w:hanging="360"/>
      </w:pPr>
    </w:lvl>
    <w:lvl w:ilvl="2" w:tplc="6F708866">
      <w:start w:val="1"/>
      <w:numFmt w:val="bullet"/>
      <w:lvlText w:val="■"/>
      <w:lvlJc w:val="left"/>
      <w:pPr>
        <w:ind w:left="2160" w:hanging="360"/>
      </w:pPr>
    </w:lvl>
    <w:lvl w:ilvl="3" w:tplc="27181414">
      <w:start w:val="1"/>
      <w:numFmt w:val="bullet"/>
      <w:lvlText w:val="●"/>
      <w:lvlJc w:val="left"/>
      <w:pPr>
        <w:ind w:left="2880" w:hanging="360"/>
      </w:pPr>
    </w:lvl>
    <w:lvl w:ilvl="4" w:tplc="9DEAB752">
      <w:start w:val="1"/>
      <w:numFmt w:val="bullet"/>
      <w:lvlText w:val="○"/>
      <w:lvlJc w:val="left"/>
      <w:pPr>
        <w:ind w:left="3600" w:hanging="360"/>
      </w:pPr>
    </w:lvl>
    <w:lvl w:ilvl="5" w:tplc="3AF2AC72">
      <w:start w:val="1"/>
      <w:numFmt w:val="bullet"/>
      <w:lvlText w:val="■"/>
      <w:lvlJc w:val="left"/>
      <w:pPr>
        <w:ind w:left="4320" w:hanging="360"/>
      </w:pPr>
    </w:lvl>
    <w:lvl w:ilvl="6" w:tplc="1038907A">
      <w:start w:val="1"/>
      <w:numFmt w:val="bullet"/>
      <w:lvlText w:val="●"/>
      <w:lvlJc w:val="left"/>
      <w:pPr>
        <w:ind w:left="5040" w:hanging="360"/>
      </w:pPr>
    </w:lvl>
    <w:lvl w:ilvl="7" w:tplc="13120CE2">
      <w:start w:val="1"/>
      <w:numFmt w:val="bullet"/>
      <w:lvlText w:val="●"/>
      <w:lvlJc w:val="left"/>
      <w:pPr>
        <w:ind w:left="5760" w:hanging="360"/>
      </w:pPr>
    </w:lvl>
    <w:lvl w:ilvl="8" w:tplc="B656B0C4">
      <w:start w:val="1"/>
      <w:numFmt w:val="bullet"/>
      <w:lvlText w:val="●"/>
      <w:lvlJc w:val="left"/>
      <w:pPr>
        <w:ind w:left="6480" w:hanging="360"/>
      </w:pPr>
    </w:lvl>
  </w:abstractNum>
  <w:num w:numId="1" w16cid:durableId="15392444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71"/>
    <w:rsid w:val="004537A1"/>
    <w:rsid w:val="007A4D71"/>
    <w:rsid w:val="008E7696"/>
    <w:rsid w:val="00ED3565"/>
  </w:rsids>
  <m:mathPr>
    <m:mathFont m:val="Cambria Math"/>
    <m:brkBin m:val="before"/>
    <m:brkBinSub m:val="--"/>
    <m:smallFrac m:val="0"/>
    <m:dispDef/>
    <m:lMargin m:val="0"/>
    <m:rMargin m:val="0"/>
    <m:defJc m:val="centerGroup"/>
    <m:wrapIndent m:val="1440"/>
    <m:intLim m:val="subSup"/>
    <m:naryLim m:val="undOvr"/>
  </m:mathPr>
  <w:themeFontLang w:val="en-MA" w:bidi="ar-SA"/>
  <w:clrSchemeMapping w:bg1="light1" w:t1="dark1" w:bg2="light2" w:t2="dark2" w:accent1="accent1" w:accent2="accent2" w:accent3="accent3" w:accent4="accent4" w:accent5="accent5" w:accent6="accent6" w:hyperlink="hyperlink" w:followedHyperlink="followedHyperlink"/>
  <w:decimalSymbol w:val=","/>
  <w:listSeparator w:val=","/>
  <w14:docId w14:val="52CDB143"/>
  <w15:docId w15:val="{03B2B830-A6A9-9446-BCE1-0E8A2BB2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kkal Majalla" w:eastAsia="Sakkal Majalla" w:hAnsi="Sakkal Majalla" w:cs="Sakkal Majalla"/>
        <w:color w:val="1A2E26"/>
        <w:sz w:val="28"/>
        <w:szCs w:val="28"/>
        <w:lang w:val="en-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MOHAMMED EL AISSATI</cp:lastModifiedBy>
  <cp:revision>3</cp:revision>
  <dcterms:created xsi:type="dcterms:W3CDTF">2026-08-31T18:04:00Z</dcterms:created>
  <dcterms:modified xsi:type="dcterms:W3CDTF">2026-08-31T18:23:00Z</dcterms:modified>
</cp:coreProperties>
</file>