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BE14" w14:textId="77777777" w:rsidR="009340E3" w:rsidRDefault="00000000">
      <w:pPr>
        <w:bidi/>
        <w:spacing w:after="60"/>
        <w:jc w:val="center"/>
      </w:pPr>
      <w:r>
        <w:rPr>
          <w:color w:val="718096"/>
          <w:sz w:val="22"/>
          <w:szCs w:val="22"/>
          <w:rtl/>
          <w:lang w:bidi="ar-MA"/>
        </w:rPr>
        <w:t>المملكة المغربية — وزارة التربية الوطنية والتعليم الأولي والرياضة</w:t>
      </w:r>
    </w:p>
    <w:p w14:paraId="6F2CF61B" w14:textId="77777777" w:rsidR="009340E3" w:rsidRDefault="00000000">
      <w:pPr>
        <w:bidi/>
        <w:spacing w:after="180"/>
        <w:jc w:val="center"/>
      </w:pPr>
      <w:r>
        <w:rPr>
          <w:b/>
          <w:bCs/>
          <w:color w:val="0D9488"/>
          <w:sz w:val="24"/>
          <w:szCs w:val="24"/>
          <w:rtl/>
          <w:lang w:bidi="ar-MA"/>
        </w:rPr>
        <w:t>مشروع مؤسسات الريادة — برنامج دعم التعلمات الأساس</w:t>
      </w:r>
    </w:p>
    <w:p w14:paraId="2AEA58C7" w14:textId="77777777" w:rsidR="009340E3" w:rsidRDefault="00000000">
      <w:pPr>
        <w:bidi/>
        <w:spacing w:before="100" w:after="100"/>
        <w:jc w:val="center"/>
      </w:pPr>
      <w:r>
        <w:rPr>
          <w:b/>
          <w:bCs/>
          <w:color w:val="0F766E"/>
          <w:sz w:val="36"/>
          <w:szCs w:val="36"/>
          <w:rtl/>
          <w:lang w:bidi="ar-MA"/>
        </w:rPr>
        <w:t>الكفايات والمهارات المكتسبة من الدورة التكوينية</w:t>
      </w:r>
    </w:p>
    <w:p w14:paraId="7B5CA494" w14:textId="77777777" w:rsidR="009340E3" w:rsidRDefault="00000000">
      <w:pPr>
        <w:bidi/>
        <w:spacing w:after="200"/>
        <w:jc w:val="center"/>
      </w:pPr>
      <w:r>
        <w:rPr>
          <w:color w:val="4A5568"/>
          <w:sz w:val="24"/>
          <w:szCs w:val="24"/>
          <w:rtl/>
          <w:lang w:bidi="ar-MA"/>
        </w:rPr>
        <w:t>حصيلة المكتسبات المهنية والبيداغوجية لأستاذ التعليم الابتدائي بمؤسسات الريادة</w:t>
      </w:r>
    </w:p>
    <w:p w14:paraId="2C22BD40" w14:textId="77777777" w:rsidR="009340E3" w:rsidRDefault="009340E3">
      <w:pPr>
        <w:pBdr>
          <w:bottom w:val="single" w:sz="2" w:space="0" w:color="0D9488"/>
        </w:pBdr>
        <w:bidi/>
        <w:spacing w:before="140" w:after="160"/>
      </w:pPr>
    </w:p>
    <w:p w14:paraId="4BC300EA" w14:textId="77777777" w:rsidR="009340E3" w:rsidRDefault="00000000" w:rsidP="00880D92">
      <w:pPr>
        <w:bidi/>
        <w:spacing w:before="100" w:after="140" w:line="360" w:lineRule="auto"/>
      </w:pPr>
      <w:r>
        <w:rPr>
          <w:b/>
          <w:bCs/>
          <w:color w:val="1A365D"/>
          <w:rtl/>
          <w:lang w:bidi="ar-MA"/>
        </w:rPr>
        <w:t>تتويجاً لمحطات الدورة الوطنية لتكوين أساتذة التعليم الابتدائي في برنامج دعم التعلمات الأساس، مكنت الورشات النظرية والتطبيقية والمحاكاة الصفية للأيام التسعة من بناء وتطوير مجموعة من الكفايات المهنية والمهارات التدريسية الأساسية التي تؤهل الأستاذ(ة) لتنزيل المقاربة بنجاعة داخل فصول الدعم ومواكبة المتعلمين وفق مستوياتهم الحقيقية.</w:t>
      </w:r>
    </w:p>
    <w:p w14:paraId="1306E17C" w14:textId="77777777" w:rsidR="009340E3" w:rsidRDefault="00000000" w:rsidP="00880D92">
      <w:pPr>
        <w:pStyle w:val="Heading2"/>
        <w:bidi/>
        <w:spacing w:before="260" w:after="120"/>
      </w:pPr>
      <w:r>
        <w:rPr>
          <w:b/>
          <w:bCs/>
          <w:color w:val="065F46"/>
          <w:sz w:val="30"/>
          <w:szCs w:val="30"/>
          <w:rtl/>
          <w:lang w:bidi="ar-MA"/>
        </w:rPr>
        <w:t>◀ جرد الكفايات والمهارات المهنية المكتسبة</w:t>
      </w:r>
    </w:p>
    <w:p w14:paraId="0A0508AC" w14:textId="77777777" w:rsidR="009340E3" w:rsidRDefault="00000000" w:rsidP="00880D92">
      <w:pPr>
        <w:bidi/>
        <w:spacing w:after="120" w:line="360" w:lineRule="auto"/>
      </w:pPr>
      <w:r>
        <w:rPr>
          <w:rtl/>
          <w:lang w:bidi="ar-MA"/>
        </w:rPr>
        <w:t>شملت المكتسبات البيداغوجية والديداكتيكية التي تم التمكن منها خلال مختلف محطات التكوين ما يلي:</w:t>
      </w:r>
    </w:p>
    <w:p w14:paraId="7E2A71EB"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فهم السياق العام لتنزيل مشروع الريادة.</w:t>
      </w:r>
    </w:p>
    <w:p w14:paraId="3D61307E"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تعريف مبادئ وأسس مقاربة التدريس وفق المستوى المناسب.</w:t>
      </w:r>
    </w:p>
    <w:p w14:paraId="548E2FCF"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القدرة على تمرير الروائز بشكل صحيح.</w:t>
      </w:r>
    </w:p>
    <w:p w14:paraId="6DCCF076"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التمكن من الجانب النظري الذي يؤطر المقاربة.</w:t>
      </w:r>
    </w:p>
    <w:p w14:paraId="6A31DE05"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القدرة على نمذجة الأنشطة أثناء الدورة التكوينية.</w:t>
      </w:r>
    </w:p>
    <w:p w14:paraId="161F4919"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التعرف على العدة البيداغوجية لإنجاز الأنشطة.</w:t>
      </w:r>
    </w:p>
    <w:p w14:paraId="49441168" w14:textId="77777777" w:rsidR="009340E3" w:rsidRDefault="00000000" w:rsidP="00880D92">
      <w:pPr>
        <w:bidi/>
        <w:spacing w:after="120" w:line="340" w:lineRule="auto"/>
        <w:ind w:right="300"/>
      </w:pPr>
      <w:r>
        <w:rPr>
          <w:b/>
          <w:bCs/>
          <w:color w:val="0D9488"/>
          <w:rtl/>
          <w:lang w:bidi="ar-MA"/>
        </w:rPr>
        <w:t xml:space="preserve">•  </w:t>
      </w:r>
      <w:r>
        <w:rPr>
          <w:color w:val="2D3748"/>
          <w:rtl/>
          <w:lang w:bidi="ar-MA"/>
        </w:rPr>
        <w:t>تعرف مسارات الدعم وسيرورتها.</w:t>
      </w:r>
    </w:p>
    <w:p w14:paraId="535CAE01" w14:textId="77777777" w:rsidR="009340E3" w:rsidRDefault="009340E3" w:rsidP="00880D92">
      <w:pPr>
        <w:pBdr>
          <w:bottom w:val="single" w:sz="2" w:space="0" w:color="0D9488"/>
        </w:pBdr>
        <w:bidi/>
        <w:spacing w:before="140" w:after="160"/>
      </w:pPr>
    </w:p>
    <w:p w14:paraId="70A4FB5B" w14:textId="77777777" w:rsidR="00AB7EB3" w:rsidRDefault="00000000" w:rsidP="00AB7EB3">
      <w:pPr>
        <w:pStyle w:val="Heading2"/>
        <w:bidi/>
        <w:spacing w:before="260" w:after="120"/>
        <w:rPr>
          <w:b/>
          <w:bCs/>
          <w:color w:val="065F46"/>
          <w:sz w:val="30"/>
          <w:szCs w:val="30"/>
          <w:lang w:val="en-US" w:bidi="ar-MA"/>
        </w:rPr>
      </w:pPr>
      <w:r>
        <w:rPr>
          <w:rFonts w:ascii="Apple Color Emoji" w:hAnsi="Apple Color Emoji" w:cs="Apple Color Emoji" w:hint="cs"/>
          <w:b/>
          <w:bCs/>
          <w:color w:val="065F46"/>
          <w:sz w:val="30"/>
          <w:szCs w:val="30"/>
          <w:rtl/>
          <w:lang w:bidi="ar-MA"/>
        </w:rPr>
        <w:t>◀</w:t>
      </w:r>
      <w:r>
        <w:rPr>
          <w:b/>
          <w:bCs/>
          <w:color w:val="065F46"/>
          <w:sz w:val="30"/>
          <w:szCs w:val="30"/>
          <w:rtl/>
          <w:lang w:bidi="ar-MA"/>
        </w:rPr>
        <w:t xml:space="preserve"> مجالات استثمار المكتسبات في الممارسة الصفية</w:t>
      </w:r>
    </w:p>
    <w:p w14:paraId="3F17531D" w14:textId="69476342" w:rsidR="009340E3" w:rsidRPr="00AB7EB3" w:rsidRDefault="00000000" w:rsidP="00AB7EB3">
      <w:pPr>
        <w:pStyle w:val="Heading2"/>
        <w:bidi/>
        <w:spacing w:before="260" w:after="120"/>
        <w:rPr>
          <w:lang w:val="en-US"/>
        </w:rPr>
      </w:pPr>
      <w:r>
        <w:rPr>
          <w:color w:val="1A2E26"/>
          <w:sz w:val="28"/>
          <w:szCs w:val="28"/>
          <w:rtl/>
          <w:lang w:bidi="ar-MA"/>
        </w:rPr>
        <w:t>تُشكل هذه الكفايات المكتسبة المنطلق الأساسي لتدبير أنشطة الدعم المكثف خلال الأسابيع الأولى من الدخول المدرسي، وتُعين الأستاذ على التفييء الدقيق للمتعلمين، التنزيل السلس لأنشطة اللبنات بمختلف المواد الأساسية (الرياضيات، اللغة العربية، واللغة الفرنسية)، والتقويم التكويني المستمر لقياس الأثر وتثبيت التعلمات.</w:t>
      </w:r>
    </w:p>
    <w:sectPr w:rsidR="009340E3" w:rsidRPr="00AB7EB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B2"/>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67A2B"/>
    <w:multiLevelType w:val="hybridMultilevel"/>
    <w:tmpl w:val="4A064EE0"/>
    <w:lvl w:ilvl="0" w:tplc="77C8A082">
      <w:start w:val="1"/>
      <w:numFmt w:val="bullet"/>
      <w:lvlText w:val="●"/>
      <w:lvlJc w:val="left"/>
      <w:pPr>
        <w:ind w:left="720" w:hanging="360"/>
      </w:pPr>
    </w:lvl>
    <w:lvl w:ilvl="1" w:tplc="090C8774">
      <w:start w:val="1"/>
      <w:numFmt w:val="bullet"/>
      <w:lvlText w:val="○"/>
      <w:lvlJc w:val="left"/>
      <w:pPr>
        <w:ind w:left="1440" w:hanging="360"/>
      </w:pPr>
    </w:lvl>
    <w:lvl w:ilvl="2" w:tplc="031CBED6">
      <w:start w:val="1"/>
      <w:numFmt w:val="bullet"/>
      <w:lvlText w:val="■"/>
      <w:lvlJc w:val="left"/>
      <w:pPr>
        <w:ind w:left="2160" w:hanging="360"/>
      </w:pPr>
    </w:lvl>
    <w:lvl w:ilvl="3" w:tplc="A3B83830">
      <w:start w:val="1"/>
      <w:numFmt w:val="bullet"/>
      <w:lvlText w:val="●"/>
      <w:lvlJc w:val="left"/>
      <w:pPr>
        <w:ind w:left="2880" w:hanging="360"/>
      </w:pPr>
    </w:lvl>
    <w:lvl w:ilvl="4" w:tplc="EFA073AC">
      <w:start w:val="1"/>
      <w:numFmt w:val="bullet"/>
      <w:lvlText w:val="○"/>
      <w:lvlJc w:val="left"/>
      <w:pPr>
        <w:ind w:left="3600" w:hanging="360"/>
      </w:pPr>
    </w:lvl>
    <w:lvl w:ilvl="5" w:tplc="169A77A2">
      <w:start w:val="1"/>
      <w:numFmt w:val="bullet"/>
      <w:lvlText w:val="■"/>
      <w:lvlJc w:val="left"/>
      <w:pPr>
        <w:ind w:left="4320" w:hanging="360"/>
      </w:pPr>
    </w:lvl>
    <w:lvl w:ilvl="6" w:tplc="0D9431E6">
      <w:start w:val="1"/>
      <w:numFmt w:val="bullet"/>
      <w:lvlText w:val="●"/>
      <w:lvlJc w:val="left"/>
      <w:pPr>
        <w:ind w:left="5040" w:hanging="360"/>
      </w:pPr>
    </w:lvl>
    <w:lvl w:ilvl="7" w:tplc="C5EA1E56">
      <w:start w:val="1"/>
      <w:numFmt w:val="bullet"/>
      <w:lvlText w:val="●"/>
      <w:lvlJc w:val="left"/>
      <w:pPr>
        <w:ind w:left="5760" w:hanging="360"/>
      </w:pPr>
    </w:lvl>
    <w:lvl w:ilvl="8" w:tplc="4D9A902E">
      <w:start w:val="1"/>
      <w:numFmt w:val="bullet"/>
      <w:lvlText w:val="●"/>
      <w:lvlJc w:val="left"/>
      <w:pPr>
        <w:ind w:left="6480" w:hanging="360"/>
      </w:pPr>
    </w:lvl>
  </w:abstractNum>
  <w:num w:numId="1" w16cid:durableId="737361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E3"/>
    <w:rsid w:val="004537A1"/>
    <w:rsid w:val="00880D92"/>
    <w:rsid w:val="009340E3"/>
    <w:rsid w:val="00AB7EB3"/>
  </w:rsids>
  <m:mathPr>
    <m:mathFont m:val="Cambria Math"/>
    <m:brkBin m:val="before"/>
    <m:brkBinSub m:val="--"/>
    <m:smallFrac m:val="0"/>
    <m:dispDef/>
    <m:lMargin m:val="0"/>
    <m:rMargin m:val="0"/>
    <m:defJc m:val="centerGroup"/>
    <m:wrapIndent m:val="1440"/>
    <m:intLim m:val="subSup"/>
    <m:naryLim m:val="undOvr"/>
  </m:mathPr>
  <w:themeFontLang w:val="en-MA" w:bidi="ar-SA"/>
  <w:clrSchemeMapping w:bg1="light1" w:t1="dark1" w:bg2="light2" w:t2="dark2" w:accent1="accent1" w:accent2="accent2" w:accent3="accent3" w:accent4="accent4" w:accent5="accent5" w:accent6="accent6" w:hyperlink="hyperlink" w:followedHyperlink="followedHyperlink"/>
  <w:decimalSymbol w:val=","/>
  <w:listSeparator w:val=","/>
  <w14:docId w14:val="47E98D63"/>
  <w15:docId w15:val="{03B2B830-A6A9-9446-BCE1-0E8A2BB2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kkal Majalla" w:eastAsia="Sakkal Majalla" w:hAnsi="Sakkal Majalla" w:cs="Sakkal Majalla"/>
        <w:color w:val="1A2E26"/>
        <w:sz w:val="28"/>
        <w:szCs w:val="28"/>
        <w:lang w:val="en-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MOHAMMED EL AISSATI</cp:lastModifiedBy>
  <cp:revision>3</cp:revision>
  <dcterms:created xsi:type="dcterms:W3CDTF">2026-08-31T18:13:00Z</dcterms:created>
  <dcterms:modified xsi:type="dcterms:W3CDTF">2026-08-31T18:24:00Z</dcterms:modified>
</cp:coreProperties>
</file>